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855" w:rsidRPr="00631E24" w:rsidRDefault="002F4855">
      <w:pPr>
        <w:pStyle w:val="Intestazione"/>
        <w:widowControl w:val="0"/>
        <w:tabs>
          <w:tab w:val="clear" w:pos="4819"/>
          <w:tab w:val="clear" w:pos="9638"/>
        </w:tabs>
        <w:rPr>
          <w:noProof/>
        </w:rPr>
      </w:pPr>
    </w:p>
    <w:p w:rsidR="002F4855" w:rsidRDefault="00D807E0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</w:rPr>
      </w:pPr>
      <w:r>
        <w:rPr>
          <w:sz w:val="36"/>
        </w:rPr>
        <w:t>CONTO CONSUNTIVO 20</w:t>
      </w:r>
      <w:r w:rsidR="002A56B0">
        <w:rPr>
          <w:sz w:val="36"/>
        </w:rPr>
        <w:t>1</w:t>
      </w:r>
      <w:r w:rsidR="00130ADC">
        <w:rPr>
          <w:sz w:val="36"/>
        </w:rPr>
        <w:t>5</w:t>
      </w:r>
    </w:p>
    <w:p w:rsidR="002F4855" w:rsidRDefault="002F4855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</w:rPr>
      </w:pPr>
      <w:r>
        <w:rPr>
          <w:sz w:val="36"/>
        </w:rPr>
        <w:t>Relazione progetto</w:t>
      </w:r>
    </w:p>
    <w:p w:rsidR="002F4855" w:rsidRDefault="002F4855">
      <w:pPr>
        <w:jc w:val="center"/>
        <w:rPr>
          <w:b/>
          <w:sz w:val="30"/>
        </w:rPr>
      </w:pPr>
    </w:p>
    <w:p w:rsidR="002F4855" w:rsidRDefault="002F4855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Denominazione progetto:</w:t>
      </w:r>
    </w:p>
    <w:p w:rsidR="002F4855" w:rsidRDefault="002F4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>P1</w:t>
      </w:r>
      <w:r w:rsidR="00992739">
        <w:rPr>
          <w:sz w:val="24"/>
        </w:rPr>
        <w:t>1</w:t>
      </w:r>
      <w:r>
        <w:rPr>
          <w:sz w:val="24"/>
        </w:rPr>
        <w:t xml:space="preserve"> – CERTIFICAZIONE COMPETENZE INFORMATICHE</w:t>
      </w:r>
    </w:p>
    <w:p w:rsidR="002F4855" w:rsidRDefault="002F4855">
      <w:pPr>
        <w:jc w:val="both"/>
        <w:rPr>
          <w:sz w:val="24"/>
        </w:rPr>
      </w:pPr>
    </w:p>
    <w:p w:rsidR="002F4855" w:rsidRDefault="002F4855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Responsabile progetto:</w:t>
      </w:r>
    </w:p>
    <w:p w:rsidR="002F4855" w:rsidRDefault="002F4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>Prof. Roberto BORCHIA</w:t>
      </w:r>
    </w:p>
    <w:p w:rsidR="002F4855" w:rsidRDefault="002F4855">
      <w:pPr>
        <w:jc w:val="both"/>
        <w:rPr>
          <w:sz w:val="24"/>
        </w:rPr>
      </w:pPr>
    </w:p>
    <w:p w:rsidR="002F4855" w:rsidRDefault="002F4855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Obiettivi del progetto e loro livello di raggiungimento: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78"/>
      </w:tblGrid>
      <w:tr w:rsidR="002F4855">
        <w:trPr>
          <w:trHeight w:val="1446"/>
        </w:trPr>
        <w:tc>
          <w:tcPr>
            <w:tcW w:w="9778" w:type="dxa"/>
          </w:tcPr>
          <w:p w:rsidR="002F4855" w:rsidRDefault="002F4855" w:rsidP="008319FA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Il progetto si propone di organizzare e gestire le procedure legate al conseguimento della patente europea del computer ECDL</w:t>
            </w:r>
            <w:r w:rsidR="00610999">
              <w:rPr>
                <w:sz w:val="24"/>
              </w:rPr>
              <w:t xml:space="preserve"> (livello CORE</w:t>
            </w:r>
            <w:r w:rsidR="00D8662B">
              <w:rPr>
                <w:sz w:val="24"/>
              </w:rPr>
              <w:t xml:space="preserve"> nuova ECDL</w:t>
            </w:r>
            <w:r w:rsidR="008319FA">
              <w:rPr>
                <w:sz w:val="24"/>
              </w:rPr>
              <w:t xml:space="preserve">, </w:t>
            </w:r>
            <w:r w:rsidR="00610999">
              <w:rPr>
                <w:sz w:val="24"/>
              </w:rPr>
              <w:t xml:space="preserve"> livello ADVANCED</w:t>
            </w:r>
            <w:r w:rsidR="008319FA">
              <w:rPr>
                <w:sz w:val="24"/>
              </w:rPr>
              <w:t>, livello UPDATE</w:t>
            </w:r>
            <w:r w:rsidR="00610999">
              <w:rPr>
                <w:sz w:val="24"/>
              </w:rPr>
              <w:t>)</w:t>
            </w:r>
            <w:r>
              <w:rPr>
                <w:sz w:val="24"/>
              </w:rPr>
              <w:t>. In particolare l’Istituto si propone sul territorio sia come Test Center ECDL riconosciuto da AICA</w:t>
            </w:r>
            <w:r w:rsidR="004C11AE">
              <w:rPr>
                <w:sz w:val="24"/>
              </w:rPr>
              <w:t>,</w:t>
            </w:r>
            <w:r>
              <w:rPr>
                <w:sz w:val="24"/>
              </w:rPr>
              <w:t xml:space="preserve"> dalla quale ottiene ogni anno il relativo accreditamento, sia come istituto erogatore di corsi di informatica propedeutici al conseguimento della patente stessa attivati secondo le esigenze dell’utenza in ore serali o preserali</w:t>
            </w:r>
            <w:r w:rsidR="00D87D91">
              <w:rPr>
                <w:sz w:val="24"/>
              </w:rPr>
              <w:t xml:space="preserve"> sia come sede di esami ECDL.</w:t>
            </w:r>
          </w:p>
        </w:tc>
      </w:tr>
    </w:tbl>
    <w:p w:rsidR="002F4855" w:rsidRDefault="002F4855">
      <w:pPr>
        <w:jc w:val="both"/>
        <w:rPr>
          <w:sz w:val="24"/>
        </w:rPr>
      </w:pPr>
    </w:p>
    <w:p w:rsidR="002F4855" w:rsidRDefault="002F4855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Attività effettuate, modalità e grado di svolgimento: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78"/>
      </w:tblGrid>
      <w:tr w:rsidR="002F4855">
        <w:tc>
          <w:tcPr>
            <w:tcW w:w="9778" w:type="dxa"/>
          </w:tcPr>
          <w:p w:rsidR="002F4855" w:rsidRPr="00F11FEF" w:rsidRDefault="002F4855">
            <w:pPr>
              <w:jc w:val="both"/>
              <w:rPr>
                <w:sz w:val="24"/>
              </w:rPr>
            </w:pPr>
            <w:r w:rsidRPr="00F11FEF">
              <w:rPr>
                <w:sz w:val="24"/>
              </w:rPr>
              <w:t>L’Istituto, come Test Center riconosciuto da AICA, è tenuto ad osservare una serie di adempimenti che sono raccolti nella documentazione (Requisiti di un Test Center ECDL; Procedura di esami ECDL comprensiva della compilazione dei moduli di registro esami, ricorso esami, verbale sessione esami, richiesta diplomi ECDL; Procedura di Audit ECDL con relativo rapporto) che viene aggiornata annualmente e che, di norma, viene adottata all’inizio di ogni anno. Poiché lo svolgimento degli esami avviene in rete si rende necessario un continuo aggiornamento e mantenimento del software A</w:t>
            </w:r>
            <w:r w:rsidR="001353EA" w:rsidRPr="00F11FEF">
              <w:rPr>
                <w:sz w:val="24"/>
              </w:rPr>
              <w:t>TLAS</w:t>
            </w:r>
            <w:r w:rsidRPr="00F11FEF">
              <w:rPr>
                <w:sz w:val="24"/>
              </w:rPr>
              <w:t xml:space="preserve">, con il </w:t>
            </w:r>
            <w:r w:rsidR="001353EA" w:rsidRPr="00F11FEF">
              <w:rPr>
                <w:sz w:val="24"/>
              </w:rPr>
              <w:t>quale gli esami vengono erogati</w:t>
            </w:r>
            <w:r w:rsidRPr="00F11FEF">
              <w:rPr>
                <w:sz w:val="24"/>
              </w:rPr>
              <w:t xml:space="preserve">. </w:t>
            </w:r>
          </w:p>
          <w:p w:rsidR="002F4855" w:rsidRPr="00D8662B" w:rsidRDefault="002F4855">
            <w:pPr>
              <w:jc w:val="both"/>
              <w:rPr>
                <w:sz w:val="24"/>
              </w:rPr>
            </w:pPr>
            <w:r w:rsidRPr="00F11FEF">
              <w:rPr>
                <w:sz w:val="24"/>
              </w:rPr>
              <w:t xml:space="preserve">Il processo di conseguimento della patente europea ECDL inizia con l’emissione della </w:t>
            </w:r>
            <w:proofErr w:type="spellStart"/>
            <w:r w:rsidRPr="00F11FEF">
              <w:rPr>
                <w:sz w:val="24"/>
              </w:rPr>
              <w:t>Skills</w:t>
            </w:r>
            <w:proofErr w:type="spellEnd"/>
            <w:r w:rsidRPr="00F11FEF">
              <w:rPr>
                <w:sz w:val="24"/>
              </w:rPr>
              <w:t xml:space="preserve"> Card, prosegue con la somministrazione degli esami in sessioni </w:t>
            </w:r>
            <w:r w:rsidR="00D8662B">
              <w:rPr>
                <w:sz w:val="24"/>
              </w:rPr>
              <w:t>2 volte al mese</w:t>
            </w:r>
            <w:r w:rsidRPr="00F11FEF">
              <w:rPr>
                <w:sz w:val="24"/>
              </w:rPr>
              <w:t xml:space="preserve"> (ogni sessione prevede la preparazione della prova di esame attraverso il software ATLAS e l’assegnazione di relativa password per ogni candidato iscritto alla sessione, l’erogazione della prova, il conseguente tutoring in aula ed eventuale correzione post esame) e con l’allineamento dei dati tra il server dell’Istituto (macchina predisposta solamente per la gestione dell’ECDL) e il server centrale AICA. Il progetto prevede inoltre la gestione delle sessioni di esame e la prenotazione degli stessi via WEB e pertanto </w:t>
            </w:r>
            <w:r w:rsidRPr="00D8662B">
              <w:rPr>
                <w:sz w:val="24"/>
              </w:rPr>
              <w:t>è necessaria la manutenzione di alcune pagine Web dinamiche predisposte ad hoc</w:t>
            </w:r>
            <w:bookmarkStart w:id="0" w:name="_GoBack"/>
            <w:r w:rsidRPr="00D8662B">
              <w:rPr>
                <w:sz w:val="24"/>
              </w:rPr>
              <w:t>. Nel corso dell’anno 20</w:t>
            </w:r>
            <w:r w:rsidR="00610999" w:rsidRPr="00D8662B">
              <w:rPr>
                <w:sz w:val="24"/>
              </w:rPr>
              <w:t>1</w:t>
            </w:r>
            <w:r w:rsidR="00D8662B" w:rsidRPr="00D8662B">
              <w:rPr>
                <w:sz w:val="24"/>
              </w:rPr>
              <w:t>5</w:t>
            </w:r>
            <w:r w:rsidRPr="00D8662B">
              <w:rPr>
                <w:sz w:val="24"/>
              </w:rPr>
              <w:t xml:space="preserve"> sono state rilasciate </w:t>
            </w:r>
            <w:r w:rsidR="00544484" w:rsidRPr="00D8662B">
              <w:rPr>
                <w:sz w:val="24"/>
              </w:rPr>
              <w:t>1</w:t>
            </w:r>
            <w:r w:rsidR="00D8662B">
              <w:rPr>
                <w:sz w:val="24"/>
              </w:rPr>
              <w:t>05</w:t>
            </w:r>
            <w:r w:rsidRPr="00D8662B">
              <w:rPr>
                <w:sz w:val="24"/>
              </w:rPr>
              <w:t xml:space="preserve"> </w:t>
            </w:r>
            <w:proofErr w:type="spellStart"/>
            <w:r w:rsidRPr="00D8662B">
              <w:rPr>
                <w:sz w:val="24"/>
              </w:rPr>
              <w:t>skills</w:t>
            </w:r>
            <w:proofErr w:type="spellEnd"/>
            <w:r w:rsidRPr="00D8662B">
              <w:rPr>
                <w:sz w:val="24"/>
              </w:rPr>
              <w:t xml:space="preserve"> card</w:t>
            </w:r>
            <w:r w:rsidR="00D8662B">
              <w:rPr>
                <w:sz w:val="24"/>
              </w:rPr>
              <w:t xml:space="preserve"> nuova ECDL</w:t>
            </w:r>
            <w:r w:rsidRPr="00D8662B">
              <w:rPr>
                <w:sz w:val="24"/>
              </w:rPr>
              <w:t xml:space="preserve">, </w:t>
            </w:r>
            <w:r w:rsidR="00BD3389" w:rsidRPr="00D8662B">
              <w:rPr>
                <w:sz w:val="24"/>
              </w:rPr>
              <w:t xml:space="preserve">alcune </w:t>
            </w:r>
            <w:r w:rsidRPr="00D8662B">
              <w:rPr>
                <w:sz w:val="24"/>
              </w:rPr>
              <w:t>delle quali a</w:t>
            </w:r>
            <w:r w:rsidR="001353EA" w:rsidRPr="00D8662B">
              <w:rPr>
                <w:sz w:val="24"/>
              </w:rPr>
              <w:t xml:space="preserve"> docenti</w:t>
            </w:r>
            <w:r w:rsidR="00C81E93" w:rsidRPr="00D8662B">
              <w:rPr>
                <w:sz w:val="24"/>
              </w:rPr>
              <w:t xml:space="preserve"> o personale ATA</w:t>
            </w:r>
            <w:r w:rsidR="001353EA" w:rsidRPr="00D8662B">
              <w:rPr>
                <w:sz w:val="24"/>
              </w:rPr>
              <w:t xml:space="preserve">, </w:t>
            </w:r>
            <w:r w:rsidRPr="00D8662B">
              <w:rPr>
                <w:sz w:val="24"/>
              </w:rPr>
              <w:t>Sono state attivate</w:t>
            </w:r>
            <w:r w:rsidR="00CE7C1F" w:rsidRPr="00D8662B">
              <w:rPr>
                <w:sz w:val="24"/>
              </w:rPr>
              <w:t xml:space="preserve"> </w:t>
            </w:r>
            <w:r w:rsidR="00544484" w:rsidRPr="00D8662B">
              <w:rPr>
                <w:sz w:val="24"/>
              </w:rPr>
              <w:t>2</w:t>
            </w:r>
            <w:r w:rsidR="00D8662B">
              <w:rPr>
                <w:sz w:val="24"/>
              </w:rPr>
              <w:t>3</w:t>
            </w:r>
            <w:r w:rsidR="00CE7C1F" w:rsidRPr="00D8662B">
              <w:rPr>
                <w:sz w:val="24"/>
              </w:rPr>
              <w:t xml:space="preserve"> </w:t>
            </w:r>
            <w:r w:rsidRPr="00D8662B">
              <w:rPr>
                <w:sz w:val="24"/>
              </w:rPr>
              <w:t>sessioni di esame</w:t>
            </w:r>
            <w:r w:rsidR="001353EA" w:rsidRPr="00D8662B">
              <w:rPr>
                <w:sz w:val="24"/>
              </w:rPr>
              <w:t>,</w:t>
            </w:r>
            <w:r w:rsidR="00C81E93" w:rsidRPr="00D8662B">
              <w:rPr>
                <w:sz w:val="24"/>
              </w:rPr>
              <w:t xml:space="preserve"> con una media di presenze di </w:t>
            </w:r>
            <w:r w:rsidR="00D8662B">
              <w:rPr>
                <w:sz w:val="24"/>
              </w:rPr>
              <w:t>23</w:t>
            </w:r>
            <w:r w:rsidRPr="00D8662B">
              <w:rPr>
                <w:sz w:val="24"/>
              </w:rPr>
              <w:t xml:space="preserve"> candidati per ognuna. Complessivamente gli esami sostenuti sono stati </w:t>
            </w:r>
            <w:r w:rsidR="00D8662B">
              <w:rPr>
                <w:sz w:val="24"/>
              </w:rPr>
              <w:t>661</w:t>
            </w:r>
            <w:r w:rsidR="00B54BC5" w:rsidRPr="00D8662B">
              <w:rPr>
                <w:sz w:val="24"/>
              </w:rPr>
              <w:t xml:space="preserve"> esami</w:t>
            </w:r>
            <w:r w:rsidRPr="00D8662B">
              <w:rPr>
                <w:sz w:val="24"/>
              </w:rPr>
              <w:t>.</w:t>
            </w:r>
          </w:p>
          <w:p w:rsidR="00610999" w:rsidRPr="00D8662B" w:rsidRDefault="00610999">
            <w:pPr>
              <w:jc w:val="both"/>
              <w:rPr>
                <w:sz w:val="24"/>
              </w:rPr>
            </w:pPr>
            <w:r w:rsidRPr="00D8662B">
              <w:rPr>
                <w:sz w:val="24"/>
              </w:rPr>
              <w:t>Prosegue l'attività legata all'ECDL-CAD.</w:t>
            </w:r>
          </w:p>
          <w:p w:rsidR="00610999" w:rsidRPr="00D8662B" w:rsidRDefault="00BD3389">
            <w:pPr>
              <w:jc w:val="both"/>
              <w:rPr>
                <w:sz w:val="24"/>
              </w:rPr>
            </w:pPr>
            <w:r w:rsidRPr="00D8662B">
              <w:rPr>
                <w:sz w:val="24"/>
              </w:rPr>
              <w:t xml:space="preserve">Sono state eseguite </w:t>
            </w:r>
            <w:r w:rsidR="00B54BC5" w:rsidRPr="00D8662B">
              <w:rPr>
                <w:sz w:val="24"/>
              </w:rPr>
              <w:t>2</w:t>
            </w:r>
            <w:r w:rsidRPr="00D8662B">
              <w:rPr>
                <w:sz w:val="24"/>
              </w:rPr>
              <w:t xml:space="preserve"> sessioni di e</w:t>
            </w:r>
            <w:r w:rsidR="00B54BC5" w:rsidRPr="00D8662B">
              <w:rPr>
                <w:sz w:val="24"/>
              </w:rPr>
              <w:t>same Advanced per un totale di 4</w:t>
            </w:r>
            <w:r w:rsidRPr="00D8662B">
              <w:rPr>
                <w:sz w:val="24"/>
              </w:rPr>
              <w:t xml:space="preserve"> esami.</w:t>
            </w:r>
          </w:p>
          <w:p w:rsidR="00B54BC5" w:rsidRPr="00D8662B" w:rsidRDefault="00B54BC5">
            <w:pPr>
              <w:jc w:val="both"/>
              <w:rPr>
                <w:sz w:val="24"/>
              </w:rPr>
            </w:pPr>
            <w:r w:rsidRPr="00D8662B">
              <w:rPr>
                <w:sz w:val="24"/>
              </w:rPr>
              <w:t xml:space="preserve">Sono state eseguite n. 4 sessioni di </w:t>
            </w:r>
            <w:proofErr w:type="spellStart"/>
            <w:r w:rsidRPr="00D8662B">
              <w:rPr>
                <w:sz w:val="24"/>
              </w:rPr>
              <w:t>DI</w:t>
            </w:r>
            <w:proofErr w:type="spellEnd"/>
            <w:r w:rsidRPr="00D8662B">
              <w:rPr>
                <w:sz w:val="24"/>
              </w:rPr>
              <w:t xml:space="preserve"> ADV con 4 </w:t>
            </w:r>
            <w:proofErr w:type="spellStart"/>
            <w:r w:rsidRPr="00D8662B">
              <w:rPr>
                <w:sz w:val="24"/>
              </w:rPr>
              <w:t>canidati</w:t>
            </w:r>
            <w:proofErr w:type="spellEnd"/>
            <w:r w:rsidRPr="00D8662B">
              <w:rPr>
                <w:sz w:val="24"/>
              </w:rPr>
              <w:t xml:space="preserve"> e 4 esami</w:t>
            </w:r>
            <w:bookmarkEnd w:id="0"/>
            <w:r w:rsidRPr="00D8662B">
              <w:rPr>
                <w:sz w:val="24"/>
              </w:rPr>
              <w:t>.</w:t>
            </w:r>
          </w:p>
          <w:p w:rsidR="002F4855" w:rsidRDefault="002F4855">
            <w:pPr>
              <w:jc w:val="both"/>
              <w:rPr>
                <w:sz w:val="24"/>
              </w:rPr>
            </w:pPr>
            <w:r w:rsidRPr="00F11FEF">
              <w:rPr>
                <w:sz w:val="24"/>
              </w:rPr>
              <w:t>Al termine dell’anno vengono infine attivate tutte le procedure necessarie per ottenere il rinnovo dell’accreditamento dell’Istituto, da parte di AICA, come TEST CENTER LICENZIATARIO.</w:t>
            </w:r>
            <w:r w:rsidR="00F11FEF">
              <w:rPr>
                <w:sz w:val="24"/>
              </w:rPr>
              <w:t xml:space="preserve"> Analogamente vengono attivate le dovute procedure per l’accreditamento al MICROSOFT IT ACADEMY PROGRAM</w:t>
            </w:r>
            <w:r w:rsidR="007F4B51">
              <w:rPr>
                <w:sz w:val="24"/>
              </w:rPr>
              <w:t>,</w:t>
            </w:r>
            <w:r w:rsidR="00F11FEF">
              <w:rPr>
                <w:sz w:val="24"/>
              </w:rPr>
              <w:t xml:space="preserve"> MICROSOFT OFFICE SP</w:t>
            </w:r>
            <w:r w:rsidR="007F4B51">
              <w:rPr>
                <w:sz w:val="24"/>
              </w:rPr>
              <w:t>ECIALIST (MOS) – TESTING CENTER e al AUTODESK STARTTEST (CERTIFICAZIONE PER L’UTILIZZO DEI SOFTWARE CAD – AUTOCAD – INVENTOR – REVIT – 3D STUDIO)</w:t>
            </w:r>
          </w:p>
          <w:p w:rsidR="002F4855" w:rsidRDefault="002F4855">
            <w:pPr>
              <w:jc w:val="both"/>
              <w:rPr>
                <w:b/>
                <w:sz w:val="24"/>
              </w:rPr>
            </w:pPr>
          </w:p>
        </w:tc>
      </w:tr>
    </w:tbl>
    <w:p w:rsidR="00B544E1" w:rsidRDefault="00B544E1">
      <w:pPr>
        <w:jc w:val="both"/>
        <w:rPr>
          <w:b/>
          <w:sz w:val="24"/>
        </w:rPr>
      </w:pPr>
    </w:p>
    <w:p w:rsidR="00B544E1" w:rsidRDefault="00B544E1">
      <w:pPr>
        <w:jc w:val="both"/>
        <w:rPr>
          <w:b/>
          <w:sz w:val="24"/>
        </w:rPr>
      </w:pPr>
    </w:p>
    <w:p w:rsidR="002F4855" w:rsidRDefault="002F4855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lastRenderedPageBreak/>
        <w:t>- Rapporti attivati: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78"/>
      </w:tblGrid>
      <w:tr w:rsidR="002F4855">
        <w:tc>
          <w:tcPr>
            <w:tcW w:w="9778" w:type="dxa"/>
          </w:tcPr>
          <w:p w:rsidR="002F4855" w:rsidRDefault="002F4855" w:rsidP="00631E24">
            <w:pPr>
              <w:jc w:val="both"/>
              <w:rPr>
                <w:sz w:val="24"/>
              </w:rPr>
            </w:pPr>
            <w:r w:rsidRPr="00631E24">
              <w:rPr>
                <w:sz w:val="24"/>
              </w:rPr>
              <w:t xml:space="preserve">Nel corso dell’anno è </w:t>
            </w:r>
            <w:r w:rsidR="001353EA" w:rsidRPr="00631E24">
              <w:rPr>
                <w:sz w:val="24"/>
              </w:rPr>
              <w:t xml:space="preserve">continuata la collaborazione con </w:t>
            </w:r>
            <w:r w:rsidR="00F2086C" w:rsidRPr="00631E24">
              <w:rPr>
                <w:sz w:val="24"/>
              </w:rPr>
              <w:t xml:space="preserve">il Territorio, </w:t>
            </w:r>
            <w:r w:rsidR="00631E24">
              <w:rPr>
                <w:sz w:val="24"/>
              </w:rPr>
              <w:t>in particolare c</w:t>
            </w:r>
            <w:r w:rsidR="00F2086C" w:rsidRPr="00631E24">
              <w:rPr>
                <w:sz w:val="24"/>
              </w:rPr>
              <w:t>o</w:t>
            </w:r>
            <w:r w:rsidR="00631E24">
              <w:rPr>
                <w:sz w:val="24"/>
              </w:rPr>
              <w:t xml:space="preserve">n </w:t>
            </w:r>
            <w:r w:rsidR="00F2086C" w:rsidRPr="00631E24">
              <w:rPr>
                <w:sz w:val="24"/>
              </w:rPr>
              <w:t>l’Università degli Studi di Biella</w:t>
            </w:r>
            <w:r w:rsidR="004C11AE" w:rsidRPr="00631E24">
              <w:rPr>
                <w:sz w:val="24"/>
              </w:rPr>
              <w:t>,</w:t>
            </w:r>
            <w:r w:rsidR="00F2086C" w:rsidRPr="00631E24">
              <w:rPr>
                <w:sz w:val="24"/>
              </w:rPr>
              <w:t xml:space="preserve"> permettendo agli allievi di svolgere gli esami ECDL anche in sessioni appositamente riservate.</w:t>
            </w:r>
          </w:p>
        </w:tc>
      </w:tr>
    </w:tbl>
    <w:p w:rsidR="002F4855" w:rsidRDefault="002F4855">
      <w:pPr>
        <w:jc w:val="both"/>
        <w:rPr>
          <w:sz w:val="24"/>
        </w:rPr>
      </w:pPr>
    </w:p>
    <w:p w:rsidR="002F4855" w:rsidRDefault="002F4855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Analisi eventuali elementi di criticità e ipotesi di continuità/modifica del progetto: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78"/>
      </w:tblGrid>
      <w:tr w:rsidR="002F4855">
        <w:tc>
          <w:tcPr>
            <w:tcW w:w="9778" w:type="dxa"/>
          </w:tcPr>
          <w:p w:rsidR="002F4855" w:rsidRDefault="002F4855" w:rsidP="008319FA">
            <w:pPr>
              <w:jc w:val="both"/>
              <w:rPr>
                <w:sz w:val="24"/>
              </w:rPr>
            </w:pPr>
            <w:r>
              <w:rPr>
                <w:sz w:val="24"/>
              </w:rPr>
              <w:t>Si intende proseguire nella realizzazione del progetto cercando una ottimizzazione delle risorse hardware e software</w:t>
            </w:r>
            <w:r w:rsidR="00F2086C">
              <w:rPr>
                <w:sz w:val="24"/>
              </w:rPr>
              <w:t>.</w:t>
            </w:r>
          </w:p>
        </w:tc>
      </w:tr>
    </w:tbl>
    <w:p w:rsidR="002F4855" w:rsidRDefault="002F4855">
      <w:pPr>
        <w:jc w:val="both"/>
        <w:rPr>
          <w:b/>
          <w:sz w:val="24"/>
        </w:rPr>
      </w:pPr>
    </w:p>
    <w:p w:rsidR="002F4855" w:rsidRDefault="002F4855">
      <w:pPr>
        <w:pStyle w:val="Intestazione"/>
        <w:widowControl w:val="0"/>
        <w:tabs>
          <w:tab w:val="clear" w:pos="4819"/>
          <w:tab w:val="clear" w:pos="9638"/>
        </w:tabs>
        <w:rPr>
          <w:noProof/>
        </w:rPr>
      </w:pPr>
    </w:p>
    <w:sectPr w:rsidR="002F4855" w:rsidSect="00C119F2">
      <w:headerReference w:type="default" r:id="rId7"/>
      <w:type w:val="continuous"/>
      <w:pgSz w:w="11906" w:h="16838"/>
      <w:pgMar w:top="284" w:right="1134" w:bottom="70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6A2" w:rsidRDefault="004866A2">
      <w:r>
        <w:separator/>
      </w:r>
    </w:p>
  </w:endnote>
  <w:endnote w:type="continuationSeparator" w:id="0">
    <w:p w:rsidR="004866A2" w:rsidRDefault="004866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6A2" w:rsidRDefault="004866A2">
      <w:r>
        <w:separator/>
      </w:r>
    </w:p>
  </w:footnote>
  <w:footnote w:type="continuationSeparator" w:id="0">
    <w:p w:rsidR="004866A2" w:rsidRDefault="004866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6A2" w:rsidRDefault="0071162E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9pt;margin-top:0;width:39.7pt;height:41pt;z-index:251659264;visibility:visible;mso-wrap-edited:f" o:allowincell="f">
          <v:imagedata r:id="rId1" o:title="" croptop="6646f" cropbottom="2346f" cropleft="10809f" cropright="5927f"/>
          <w10:wrap type="topAndBottom"/>
        </v:shape>
        <o:OLEObject Type="Embed" ProgID="Word.Picture.8" ShapeID="_x0000_s2052" DrawAspect="Content" ObjectID="_1527487755" r:id="rId2"/>
      </w:pict>
    </w:r>
    <w:r>
      <w:rPr>
        <w:noProof/>
      </w:rPr>
      <w:pict>
        <v:shape id="_x0000_s2050" type="#_x0000_t75" style="position:absolute;margin-left:451.35pt;margin-top:-1.45pt;width:28.9pt;height:55.65pt;z-index:251657216" o:allowincell="f">
          <v:imagedata r:id="rId3" o:title="" gain="1.5625" grayscale="t"/>
          <w10:wrap type="topAndBottom"/>
        </v:shape>
        <o:OLEObject Type="Embed" ProgID="MSPhotoEd.3" ShapeID="_x0000_s2050" DrawAspect="Content" ObjectID="_1527487756" r:id="rId4"/>
      </w:pict>
    </w:r>
  </w:p>
  <w:p w:rsidR="004866A2" w:rsidRDefault="0071162E">
    <w:pPr>
      <w:pStyle w:val="Intestazion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5.35pt;margin-top:5.8pt;width:103.8pt;height:19.7pt;z-index:251658240" o:allowincell="f" stroked="f">
          <v:textbox>
            <w:txbxContent>
              <w:p w:rsidR="004866A2" w:rsidRDefault="004866A2">
                <w:pPr>
                  <w:tabs>
                    <w:tab w:val="right" w:pos="2977"/>
                    <w:tab w:val="left" w:pos="3261"/>
                  </w:tabs>
                  <w:rPr>
                    <w:rFonts w:ascii="Arial" w:hAnsi="Arial"/>
                  </w:rPr>
                </w:pPr>
                <w:r>
                  <w:rPr>
                    <w:rFonts w:ascii="Arial" w:hAnsi="Arial"/>
                    <w:b/>
                  </w:rPr>
                  <w:t>13900 BIELLA</w:t>
                </w:r>
              </w:p>
              <w:p w:rsidR="004866A2" w:rsidRDefault="004866A2"/>
            </w:txbxContent>
          </v:textbox>
        </v:shape>
      </w:pict>
    </w:r>
    <w:r w:rsidR="004866A2">
      <w:rPr>
        <w:noProof/>
      </w:rPr>
      <w:drawing>
        <wp:anchor distT="0" distB="0" distL="114300" distR="114300" simplePos="0" relativeHeight="251656192" behindDoc="0" locked="0" layoutInCell="0" allowOverlap="1">
          <wp:simplePos x="0" y="0"/>
          <wp:positionH relativeFrom="column">
            <wp:posOffset>542925</wp:posOffset>
          </wp:positionH>
          <wp:positionV relativeFrom="paragraph">
            <wp:posOffset>5080</wp:posOffset>
          </wp:positionV>
          <wp:extent cx="3420110" cy="365760"/>
          <wp:effectExtent l="19050" t="0" r="8890" b="0"/>
          <wp:wrapTopAndBottom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0110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66A2" w:rsidRDefault="004866A2">
    <w:pPr>
      <w:pStyle w:val="Intestazione"/>
    </w:pPr>
  </w:p>
  <w:p w:rsidR="004866A2" w:rsidRDefault="004866A2">
    <w:pPr>
      <w:pStyle w:val="Intestazione"/>
    </w:pPr>
  </w:p>
  <w:p w:rsidR="004866A2" w:rsidRDefault="004866A2">
    <w:pPr>
      <w:pStyle w:val="Intestazione"/>
      <w:tabs>
        <w:tab w:val="clear" w:pos="4819"/>
        <w:tab w:val="clear" w:pos="9638"/>
      </w:tabs>
      <w:rPr>
        <w:rFonts w:ascii="Arial" w:hAnsi="Arial"/>
        <w:noProof/>
        <w:sz w:val="8"/>
      </w:rPr>
    </w:pPr>
  </w:p>
  <w:p w:rsidR="004866A2" w:rsidRDefault="004866A2">
    <w:pPr>
      <w:pStyle w:val="Intestazione"/>
      <w:tabs>
        <w:tab w:val="clear" w:pos="4819"/>
        <w:tab w:val="clear" w:pos="9638"/>
      </w:tabs>
      <w:rPr>
        <w:rFonts w:ascii="Arial" w:hAnsi="Arial"/>
        <w:noProof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D5A12"/>
    <w:multiLevelType w:val="hybridMultilevel"/>
    <w:tmpl w:val="44A848AA"/>
    <w:lvl w:ilvl="0" w:tplc="CB6096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7031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756BA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A40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709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08AA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F413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86A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56B5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3E70A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07E5CE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40409B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9091D2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94D0FAC"/>
    <w:multiLevelType w:val="multilevel"/>
    <w:tmpl w:val="D578F2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6CE0C8D"/>
    <w:multiLevelType w:val="singleLevel"/>
    <w:tmpl w:val="1870F0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/>
  <w:attachedTemplate r:id="rId1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docVars>
    <w:docVar w:name="ACTIVE" w:val="MODELLO_PRIMO_FOGLIO.doc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81B43"/>
    <w:rsid w:val="000822D2"/>
    <w:rsid w:val="000A4A57"/>
    <w:rsid w:val="000E192D"/>
    <w:rsid w:val="00130ADC"/>
    <w:rsid w:val="001353EA"/>
    <w:rsid w:val="00140452"/>
    <w:rsid w:val="001B6F95"/>
    <w:rsid w:val="0029341F"/>
    <w:rsid w:val="002A56B0"/>
    <w:rsid w:val="002A7687"/>
    <w:rsid w:val="002F4855"/>
    <w:rsid w:val="0031638E"/>
    <w:rsid w:val="00326715"/>
    <w:rsid w:val="00343154"/>
    <w:rsid w:val="003C0790"/>
    <w:rsid w:val="004528CE"/>
    <w:rsid w:val="004866A2"/>
    <w:rsid w:val="00490D62"/>
    <w:rsid w:val="004C11AE"/>
    <w:rsid w:val="00544484"/>
    <w:rsid w:val="00556629"/>
    <w:rsid w:val="00595414"/>
    <w:rsid w:val="005C42DE"/>
    <w:rsid w:val="00610999"/>
    <w:rsid w:val="00630C43"/>
    <w:rsid w:val="00631E24"/>
    <w:rsid w:val="00643828"/>
    <w:rsid w:val="0068195A"/>
    <w:rsid w:val="006F4666"/>
    <w:rsid w:val="00710B7F"/>
    <w:rsid w:val="0071162E"/>
    <w:rsid w:val="00717450"/>
    <w:rsid w:val="00717461"/>
    <w:rsid w:val="00770EE5"/>
    <w:rsid w:val="00781AED"/>
    <w:rsid w:val="007A41F3"/>
    <w:rsid w:val="007C3A59"/>
    <w:rsid w:val="007F4B51"/>
    <w:rsid w:val="008054C6"/>
    <w:rsid w:val="008319FA"/>
    <w:rsid w:val="008473DB"/>
    <w:rsid w:val="00981B43"/>
    <w:rsid w:val="00992739"/>
    <w:rsid w:val="009E7BCB"/>
    <w:rsid w:val="00AC1B0F"/>
    <w:rsid w:val="00AC62BA"/>
    <w:rsid w:val="00B0297A"/>
    <w:rsid w:val="00B53A7A"/>
    <w:rsid w:val="00B544E1"/>
    <w:rsid w:val="00B54BC5"/>
    <w:rsid w:val="00B91E3D"/>
    <w:rsid w:val="00BC22D9"/>
    <w:rsid w:val="00BD3389"/>
    <w:rsid w:val="00BD47A4"/>
    <w:rsid w:val="00C10270"/>
    <w:rsid w:val="00C119F2"/>
    <w:rsid w:val="00C32787"/>
    <w:rsid w:val="00C81E93"/>
    <w:rsid w:val="00CC740E"/>
    <w:rsid w:val="00CE7C1F"/>
    <w:rsid w:val="00CF7486"/>
    <w:rsid w:val="00D807E0"/>
    <w:rsid w:val="00D8662B"/>
    <w:rsid w:val="00D87D91"/>
    <w:rsid w:val="00DF6719"/>
    <w:rsid w:val="00E13A94"/>
    <w:rsid w:val="00EA022F"/>
    <w:rsid w:val="00F11FEF"/>
    <w:rsid w:val="00F2086C"/>
    <w:rsid w:val="00F257DC"/>
    <w:rsid w:val="00F92275"/>
    <w:rsid w:val="00FE7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119F2"/>
  </w:style>
  <w:style w:type="paragraph" w:styleId="Titolo1">
    <w:name w:val="heading 1"/>
    <w:basedOn w:val="Normale"/>
    <w:next w:val="Normale"/>
    <w:qFormat/>
    <w:rsid w:val="00C119F2"/>
    <w:pPr>
      <w:keepNext/>
      <w:spacing w:line="360" w:lineRule="auto"/>
      <w:ind w:left="426"/>
      <w:outlineLvl w:val="0"/>
    </w:pPr>
    <w:rPr>
      <w:rFonts w:ascii="Arial" w:hAnsi="Arial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119F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119F2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C119F2"/>
    <w:pPr>
      <w:spacing w:line="360" w:lineRule="auto"/>
      <w:jc w:val="both"/>
    </w:pPr>
  </w:style>
  <w:style w:type="paragraph" w:styleId="Rientrocorpodeltesto">
    <w:name w:val="Body Text Indent"/>
    <w:basedOn w:val="Normale"/>
    <w:rsid w:val="00C119F2"/>
    <w:pPr>
      <w:ind w:left="284"/>
    </w:pPr>
    <w:rPr>
      <w:sz w:val="24"/>
    </w:rPr>
  </w:style>
  <w:style w:type="paragraph" w:styleId="Corpodeltesto2">
    <w:name w:val="Body Text 2"/>
    <w:basedOn w:val="Normale"/>
    <w:rsid w:val="00C119F2"/>
    <w:pPr>
      <w:spacing w:line="360" w:lineRule="auto"/>
    </w:pPr>
    <w:rPr>
      <w:sz w:val="24"/>
    </w:rPr>
  </w:style>
  <w:style w:type="paragraph" w:styleId="Testofumetto">
    <w:name w:val="Balloon Text"/>
    <w:basedOn w:val="Normale"/>
    <w:semiHidden/>
    <w:rsid w:val="00C119F2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C119F2"/>
    <w:pPr>
      <w:jc w:val="center"/>
    </w:pPr>
    <w:rPr>
      <w:b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L\a\OFFICE\Personale\Modelli\Carta%20Intestata%206_10_05\Carta%20Intestata%20II%20Fogl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II Foglio</Template>
  <TotalTime>37</TotalTime>
  <Pages>2</Pages>
  <Words>521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 allegato, per i provvedimenti di competenza, si inviano n° 5 bolle relative alle Ditte Marazzato, Entomit e Rentokil</vt:lpstr>
    </vt:vector>
  </TitlesOfParts>
  <Company>I.T.I.S. "Q. SELLA" - BIELLA</Company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allegato, per i provvedimenti di competenza, si inviano n° 5 bolle relative alle Ditte Marazzato, Entomit e Rentokil</dc:title>
  <dc:creator>Angelo</dc:creator>
  <cp:lastModifiedBy>uffici</cp:lastModifiedBy>
  <cp:revision>10</cp:revision>
  <cp:lastPrinted>2014-04-22T11:08:00Z</cp:lastPrinted>
  <dcterms:created xsi:type="dcterms:W3CDTF">2013-04-15T09:39:00Z</dcterms:created>
  <dcterms:modified xsi:type="dcterms:W3CDTF">2016-06-15T07:23:00Z</dcterms:modified>
</cp:coreProperties>
</file>